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24EAE5FA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685AE4">
        <w:rPr>
          <w:rFonts w:ascii="Cambria" w:hAnsi="Cambria" w:cs="Cambria"/>
          <w:b/>
          <w:bCs/>
          <w:color w:val="000000"/>
        </w:rPr>
        <w:t>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77B753BB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85AE4" w:rsidRPr="00685AE4">
        <w:rPr>
          <w:rFonts w:ascii="Cambria" w:eastAsia="SimSun" w:hAnsi="Cambria" w:cs="Cambria"/>
          <w:b/>
          <w:kern w:val="1"/>
          <w:lang w:eastAsia="ar-SA"/>
        </w:rPr>
        <w:t>„Przebudowa budynku re</w:t>
      </w:r>
      <w:bookmarkStart w:id="4" w:name="_GoBack"/>
      <w:bookmarkEnd w:id="4"/>
      <w:r w:rsidR="00685AE4" w:rsidRPr="00685AE4">
        <w:rPr>
          <w:rFonts w:ascii="Cambria" w:eastAsia="SimSun" w:hAnsi="Cambria" w:cs="Cambria"/>
          <w:b/>
          <w:kern w:val="1"/>
          <w:lang w:eastAsia="ar-SA"/>
        </w:rPr>
        <w:t>mizy OSP w Młynisku"</w:t>
      </w:r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2195B" w14:textId="77777777" w:rsidR="00E27710" w:rsidRDefault="00E27710" w:rsidP="00AF0EDA">
      <w:r>
        <w:separator/>
      </w:r>
    </w:p>
  </w:endnote>
  <w:endnote w:type="continuationSeparator" w:id="0">
    <w:p w14:paraId="0053DA81" w14:textId="77777777" w:rsidR="00E27710" w:rsidRDefault="00E277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85A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85AE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785A1" w14:textId="77777777" w:rsidR="00E27710" w:rsidRDefault="00E27710" w:rsidP="00AF0EDA">
      <w:r>
        <w:separator/>
      </w:r>
    </w:p>
  </w:footnote>
  <w:footnote w:type="continuationSeparator" w:id="0">
    <w:p w14:paraId="768058A1" w14:textId="77777777" w:rsidR="00E27710" w:rsidRDefault="00E27710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85AE4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27710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F76C95-BB36-4C5E-879F-2AD69133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24</cp:revision>
  <cp:lastPrinted>2024-03-08T10:49:00Z</cp:lastPrinted>
  <dcterms:created xsi:type="dcterms:W3CDTF">2023-01-10T07:41:00Z</dcterms:created>
  <dcterms:modified xsi:type="dcterms:W3CDTF">2024-05-24T09:53:00Z</dcterms:modified>
</cp:coreProperties>
</file>