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0D664402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Załącznik nr </w:t>
      </w:r>
      <w:r w:rsidR="00902663">
        <w:rPr>
          <w:rFonts w:ascii="Cambria" w:eastAsia="Cambria" w:hAnsi="Cambria" w:cs="Cambria"/>
          <w:b/>
          <w:color w:val="000000"/>
        </w:rPr>
        <w:t>11</w:t>
      </w:r>
      <w:r>
        <w:rPr>
          <w:rFonts w:ascii="Cambria" w:eastAsia="Cambria" w:hAnsi="Cambria" w:cs="Cambria"/>
          <w:b/>
          <w:color w:val="000000"/>
        </w:rPr>
        <w:t xml:space="preserve">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521F63FA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2D0AAF">
        <w:rPr>
          <w:rFonts w:ascii="Cambria" w:eastAsia="Cambria" w:hAnsi="Cambria" w:cs="Cambria"/>
          <w:b/>
          <w:sz w:val="22"/>
          <w:szCs w:val="22"/>
        </w:rPr>
        <w:t>GO.271.2.</w:t>
      </w:r>
      <w:r w:rsidR="009C6D85">
        <w:rPr>
          <w:rFonts w:ascii="Cambria" w:eastAsia="Cambria" w:hAnsi="Cambria" w:cs="Cambria"/>
          <w:b/>
          <w:sz w:val="22"/>
          <w:szCs w:val="22"/>
        </w:rPr>
        <w:t>9</w:t>
      </w:r>
      <w:r w:rsidR="002D0AAF">
        <w:rPr>
          <w:rFonts w:ascii="Cambria" w:eastAsia="Cambria" w:hAnsi="Cambria" w:cs="Cambria"/>
          <w:b/>
          <w:sz w:val="22"/>
          <w:szCs w:val="22"/>
        </w:rPr>
        <w:t>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2C54029B" w:rsidR="00857FC7" w:rsidRPr="002D1849" w:rsidRDefault="00CD2F0C" w:rsidP="009C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153F5E">
              <w:t>0b56c57a-38d3-4964-8408-8e89cf5838e3</w:t>
            </w:r>
            <w:bookmarkStart w:id="1" w:name="_GoBack"/>
            <w:bookmarkEnd w:id="1"/>
            <w:r w:rsidR="009B0771">
              <w:t xml:space="preserve"> </w:t>
            </w:r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default" r:id="rId7"/>
      <w:footerReference w:type="default" r:id="rId8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28C67" w14:textId="77777777" w:rsidR="00CD2F0C" w:rsidRDefault="00CD2F0C" w:rsidP="00857FC7">
      <w:r>
        <w:separator/>
      </w:r>
    </w:p>
  </w:endnote>
  <w:endnote w:type="continuationSeparator" w:id="0">
    <w:p w14:paraId="7E96E434" w14:textId="77777777" w:rsidR="00CD2F0C" w:rsidRDefault="00CD2F0C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16D12247" w:rsidR="00857FC7" w:rsidRDefault="00A42F80" w:rsidP="009026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 xml:space="preserve">Zał. Nr </w:t>
    </w:r>
    <w:r w:rsidR="00902663">
      <w:rPr>
        <w:rFonts w:ascii="Cambria" w:eastAsia="Cambria" w:hAnsi="Cambria" w:cs="Cambria"/>
        <w:color w:val="000000"/>
        <w:sz w:val="20"/>
        <w:szCs w:val="20"/>
      </w:rPr>
      <w:t>11</w:t>
    </w:r>
    <w:r>
      <w:rPr>
        <w:rFonts w:ascii="Cambria" w:eastAsia="Cambria" w:hAnsi="Cambria" w:cs="Cambria"/>
        <w:color w:val="000000"/>
        <w:sz w:val="20"/>
        <w:szCs w:val="20"/>
      </w:rPr>
      <w:t xml:space="preserve">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153F5E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153F5E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75D7E" w14:textId="77777777" w:rsidR="00CD2F0C" w:rsidRDefault="00CD2F0C" w:rsidP="00857FC7">
      <w:r>
        <w:separator/>
      </w:r>
    </w:p>
  </w:footnote>
  <w:footnote w:type="continuationSeparator" w:id="0">
    <w:p w14:paraId="5DC8BEA0" w14:textId="77777777" w:rsidR="00CD2F0C" w:rsidRDefault="00CD2F0C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61151" w14:textId="5440F01B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2" w:name="_Hlk80019057"/>
  </w:p>
  <w:p w14:paraId="5B29EDF0" w14:textId="77777777" w:rsidR="00902663" w:rsidRDefault="00902663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4A5FF534" w14:textId="77777777" w:rsidR="00902663" w:rsidRDefault="00902663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153F5E"/>
    <w:rsid w:val="001B3D78"/>
    <w:rsid w:val="002D0AAF"/>
    <w:rsid w:val="002D1849"/>
    <w:rsid w:val="00320A47"/>
    <w:rsid w:val="003559A8"/>
    <w:rsid w:val="00397C11"/>
    <w:rsid w:val="00447926"/>
    <w:rsid w:val="00493E8A"/>
    <w:rsid w:val="006F4D7E"/>
    <w:rsid w:val="00857FC7"/>
    <w:rsid w:val="008618A5"/>
    <w:rsid w:val="008E3C4C"/>
    <w:rsid w:val="00902663"/>
    <w:rsid w:val="009269E7"/>
    <w:rsid w:val="009B0771"/>
    <w:rsid w:val="009B44CB"/>
    <w:rsid w:val="009C6D85"/>
    <w:rsid w:val="009E779F"/>
    <w:rsid w:val="009F71AC"/>
    <w:rsid w:val="00A42F80"/>
    <w:rsid w:val="00A65A70"/>
    <w:rsid w:val="00A83848"/>
    <w:rsid w:val="00AA77A4"/>
    <w:rsid w:val="00B6290D"/>
    <w:rsid w:val="00B910A3"/>
    <w:rsid w:val="00BA2C26"/>
    <w:rsid w:val="00BC6230"/>
    <w:rsid w:val="00BE1DE0"/>
    <w:rsid w:val="00C20D6D"/>
    <w:rsid w:val="00C93BDA"/>
    <w:rsid w:val="00CD2F0C"/>
    <w:rsid w:val="00D75019"/>
    <w:rsid w:val="00E00406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17</cp:revision>
  <cp:lastPrinted>2022-04-14T05:51:00Z</cp:lastPrinted>
  <dcterms:created xsi:type="dcterms:W3CDTF">2021-05-10T13:31:00Z</dcterms:created>
  <dcterms:modified xsi:type="dcterms:W3CDTF">2022-09-15T09:36:00Z</dcterms:modified>
</cp:coreProperties>
</file>