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  <w:r w:rsidRPr="003279F7">
        <w:rPr>
          <w:rFonts w:ascii="Cambria" w:hAnsi="Cambria"/>
          <w:b/>
          <w:bCs/>
        </w:rPr>
        <w:t>DWI.271.1.2020</w:t>
      </w:r>
    </w:p>
    <w:p w:rsidR="004D1D0F" w:rsidRDefault="004D1D0F" w:rsidP="004D1D0F">
      <w:pPr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3279F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3279F7">
        <w:rPr>
          <w:rFonts w:ascii="Cambria" w:hAnsi="Cambria"/>
          <w:b/>
          <w:bCs/>
        </w:rPr>
        <w:t xml:space="preserve"> do Zapytania ofertowego</w:t>
      </w:r>
    </w:p>
    <w:p w:rsidR="004D1D0F" w:rsidRDefault="004D1D0F" w:rsidP="004D1D0F">
      <w:pPr>
        <w:tabs>
          <w:tab w:val="left" w:pos="426"/>
        </w:tabs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Informacja o przetwarzaniu danych osobowych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4472C4" w:themeColor="accent1"/>
          <w:sz w:val="24"/>
          <w:szCs w:val="24"/>
          <w:u w:val="single"/>
        </w:rPr>
      </w:pPr>
      <w:r w:rsidRPr="009A12DD">
        <w:rPr>
          <w:rFonts w:ascii="Calibri" w:hAnsi="Calibri" w:cs="Arial"/>
          <w:color w:val="4472C4" w:themeColor="accent1"/>
          <w:sz w:val="24"/>
          <w:szCs w:val="24"/>
          <w:u w:val="single"/>
        </w:rPr>
        <w:t>INFORMACJE DOTYCZĄCE PRZETWARZANIA DANYCH - DLA UCZESTNIKÓW POSTĘPOWAŃ O ZAMÓWIENIA PUBLICZNE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4472C4" w:themeColor="accent1"/>
          <w:sz w:val="24"/>
          <w:szCs w:val="24"/>
          <w:u w:val="single"/>
        </w:rPr>
      </w:pPr>
    </w:p>
    <w:p w:rsidR="004D1D0F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</w:p>
    <w:p w:rsidR="004D1D0F" w:rsidRDefault="004D1D0F" w:rsidP="004D1D0F">
      <w:pPr>
        <w:tabs>
          <w:tab w:val="left" w:pos="426"/>
        </w:tabs>
        <w:spacing w:after="0" w:line="240" w:lineRule="auto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Administratorem Pani/Pana danych osobowych będzie Wójt Gminy Biała, z siedziba Biała Druga 4B. </w:t>
      </w:r>
    </w:p>
    <w:p w:rsidR="004D1D0F" w:rsidRPr="004D1D0F" w:rsidRDefault="004D1D0F" w:rsidP="004D1D0F">
      <w:pPr>
        <w:tabs>
          <w:tab w:val="left" w:pos="426"/>
        </w:tabs>
        <w:spacing w:after="0" w:line="240" w:lineRule="auto"/>
        <w:rPr>
          <w:rFonts w:ascii="Cambria" w:hAnsi="Cambria"/>
          <w:b/>
          <w:bCs/>
        </w:rPr>
      </w:pPr>
      <w:r w:rsidRPr="00411A21">
        <w:rPr>
          <w:rFonts w:ascii="Calibri" w:hAnsi="Calibri" w:cs="Arial"/>
          <w:color w:val="000000" w:themeColor="text1"/>
          <w:sz w:val="18"/>
          <w:szCs w:val="18"/>
        </w:rPr>
        <w:t>Można się z nim skontaktować w następujący sposób: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:rsidR="004D1D0F" w:rsidRPr="00411A21" w:rsidRDefault="004D1D0F" w:rsidP="004D1D0F">
      <w:pPr>
        <w:pStyle w:val="Nagwek1"/>
        <w:keepNext w:val="0"/>
        <w:keepLines w:val="0"/>
        <w:numPr>
          <w:ilvl w:val="0"/>
          <w:numId w:val="1"/>
        </w:numPr>
        <w:ind w:left="0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proofErr w:type="spellStart"/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</w:t>
      </w:r>
      <w:r w:rsidRPr="004D1D0F">
        <w:rPr>
          <w:rFonts w:ascii="Calibri" w:hAnsi="Calibri" w:cs="Arial"/>
          <w:b w:val="0"/>
          <w:color w:val="auto"/>
          <w:sz w:val="18"/>
          <w:szCs w:val="18"/>
        </w:rPr>
        <w:t>P</w:t>
      </w:r>
      <w:proofErr w:type="spellEnd"/>
      <w:r w:rsidRPr="004D1D0F">
        <w:rPr>
          <w:rFonts w:ascii="Calibri" w:hAnsi="Calibri" w:cs="Arial"/>
          <w:color w:val="auto"/>
          <w:sz w:val="18"/>
          <w:szCs w:val="18"/>
        </w:rPr>
        <w:t>:</w:t>
      </w:r>
      <w:r w:rsidRPr="004D1D0F">
        <w:rPr>
          <w:color w:val="auto"/>
          <w:sz w:val="18"/>
          <w:szCs w:val="18"/>
        </w:rPr>
        <w:t xml:space="preserve"> </w:t>
      </w:r>
      <w:hyperlink r:id="rId7" w:tgtFrame="_blank" w:history="1">
        <w:r w:rsidRPr="004D1D0F">
          <w:rPr>
            <w:rStyle w:val="Hipercze"/>
            <w:rFonts w:ascii="Calibri" w:hAnsi="Calibri" w:cs="Arial"/>
            <w:b w:val="0"/>
            <w:color w:val="auto"/>
            <w:sz w:val="18"/>
            <w:szCs w:val="18"/>
          </w:rPr>
          <w:t>/101701/skrytka</w:t>
        </w:r>
      </w:hyperlink>
    </w:p>
    <w:p w:rsidR="004D1D0F" w:rsidRPr="006C1111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:rsidR="004D1D0F" w:rsidRDefault="004D1D0F" w:rsidP="004D1D0F">
      <w:pPr>
        <w:pStyle w:val="Nagwek1"/>
        <w:keepNext w:val="0"/>
        <w:keepLines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D1D0F">
        <w:rPr>
          <w:rStyle w:val="Hipercze"/>
          <w:rFonts w:ascii="Calibri" w:hAnsi="Calibri" w:cs="Arial"/>
          <w:b w:val="0"/>
          <w:color w:val="auto"/>
          <w:sz w:val="18"/>
          <w:szCs w:val="18"/>
        </w:rPr>
        <w:t>inspektor@myiod.pl</w:t>
      </w:r>
      <w:r w:rsidRPr="004D1D0F">
        <w:rPr>
          <w:rFonts w:ascii="Calibri" w:hAnsi="Calibri" w:cs="Arial"/>
          <w:color w:val="auto"/>
          <w:sz w:val="18"/>
          <w:szCs w:val="18"/>
        </w:rPr>
        <w:t xml:space="preserve"> </w:t>
      </w:r>
      <w:r w:rsidRPr="004D1D0F">
        <w:rPr>
          <w:rFonts w:ascii="Calibri" w:hAnsi="Calibri" w:cs="Arial"/>
          <w:b w:val="0"/>
          <w:color w:val="auto"/>
          <w:sz w:val="18"/>
          <w:szCs w:val="18"/>
        </w:rPr>
        <w:t xml:space="preserve">lub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sekretariacie Urzędu Gminy. Z inspektorem ochrony danych można się kontaktować we wszystkich sprawach dotyczących przetwarzania danych osobowych oraz korzystania z praw związanych z przetwarzaniem danych. 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:rsidR="004D1D0F" w:rsidRDefault="004D1D0F" w:rsidP="004D1D0F">
      <w:pPr>
        <w:pStyle w:val="Nagwek1"/>
        <w:keepNext w:val="0"/>
        <w:keepLines w:val="0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3"/>
        </w:numPr>
        <w:ind w:left="0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3"/>
        </w:numPr>
        <w:ind w:left="0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:rsidR="004D1D0F" w:rsidRPr="006C1111" w:rsidRDefault="004D1D0F" w:rsidP="004D1D0F">
      <w:pPr>
        <w:pStyle w:val="Nagwek1"/>
        <w:keepNext w:val="0"/>
        <w:keepLines w:val="0"/>
        <w:numPr>
          <w:ilvl w:val="0"/>
          <w:numId w:val="4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clear" w:pos="9360"/>
          <w:tab w:val="right" w:pos="10337"/>
        </w:tabs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:rsidR="004D1D0F" w:rsidRPr="00A961FC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kopii,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:rsidR="004D1D0F" w:rsidRPr="00A961FC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:rsidR="004D1D0F" w:rsidRDefault="004D1D0F" w:rsidP="004D1D0F">
      <w:pPr>
        <w:pStyle w:val="Nagwek1"/>
        <w:keepNext w:val="0"/>
        <w:keepLines w:val="0"/>
        <w:numPr>
          <w:ilvl w:val="0"/>
          <w:numId w:val="2"/>
        </w:numPr>
        <w:ind w:left="0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a.</w:t>
      </w:r>
    </w:p>
    <w:p w:rsidR="004D1D0F" w:rsidRPr="00CF5E8E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/>
        <w:contextualSpacing w:val="0"/>
        <w:jc w:val="both"/>
        <w:rPr>
          <w:rFonts w:ascii="Calibri" w:hAnsi="Calibri" w:cs="Arial"/>
          <w:sz w:val="18"/>
          <w:szCs w:val="18"/>
        </w:rPr>
      </w:pPr>
      <w:r w:rsidRPr="00CF5E8E">
        <w:rPr>
          <w:rFonts w:ascii="Calibri" w:hAnsi="Calibri" w:cs="Arial"/>
          <w:sz w:val="18"/>
          <w:szCs w:val="18"/>
        </w:rPr>
        <w:t>Prawo wniesienia skargi do organu nadzorczego.</w:t>
      </w:r>
    </w:p>
    <w:p w:rsidR="004D1D0F" w:rsidRPr="006C1111" w:rsidRDefault="004D1D0F" w:rsidP="004D1D0F">
      <w:pPr>
        <w:pStyle w:val="Nagwek1"/>
        <w:keepNext w:val="0"/>
        <w:keepLines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Przysługuje Pani/Panu również prawo wniesienia skargi do organu nadzorczego zajmującego się ochroną danych osobowych na adres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Biura Prezesa Urzędu Ochrony Danych Osobowych, ul. Stawki 2, 00-193 Warszawa lub przez stronę internetową uodo.gov.pl.</w:t>
      </w:r>
    </w:p>
    <w:p w:rsidR="004D1D0F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</w:p>
    <w:p w:rsidR="004D1D0F" w:rsidRPr="00A961FC" w:rsidRDefault="004D1D0F" w:rsidP="004D1D0F">
      <w:pPr>
        <w:pStyle w:val="Nagwek1"/>
        <w:keepNext w:val="0"/>
        <w:keepLines w:val="0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:rsidR="004D1D0F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Podanie przez Panią/Pana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:rsidR="004D1D0F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</w:p>
    <w:p w:rsidR="004D1D0F" w:rsidRPr="00226534" w:rsidRDefault="004D1D0F" w:rsidP="004D1D0F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bookmarkStart w:id="0" w:name="_GoBack"/>
      <w:bookmarkEnd w:id="0"/>
    </w:p>
    <w:p w:rsidR="004D1D0F" w:rsidRPr="00A961FC" w:rsidRDefault="004D1D0F" w:rsidP="004D1D0F">
      <w:pPr>
        <w:pStyle w:val="Nagwek1"/>
        <w:keepNext w:val="0"/>
        <w:keepLines w:val="0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>
        <w:rPr>
          <w:rFonts w:ascii="Calibri" w:hAnsi="Calibri" w:cs="Arial"/>
          <w:i/>
          <w:color w:val="000000" w:themeColor="text1"/>
          <w:sz w:val="16"/>
          <w:szCs w:val="16"/>
        </w:rPr>
        <w:t>07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.2019r.</w:t>
      </w:r>
    </w:p>
    <w:p w:rsidR="004D1D0F" w:rsidRDefault="004D1D0F" w:rsidP="004D1D0F">
      <w:pPr>
        <w:spacing w:after="0" w:line="240" w:lineRule="auto"/>
      </w:pPr>
    </w:p>
    <w:sectPr w:rsidR="004D1D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208" w:rsidRDefault="00A27208" w:rsidP="004D1D0F">
      <w:pPr>
        <w:spacing w:after="0" w:line="240" w:lineRule="auto"/>
      </w:pPr>
      <w:r>
        <w:separator/>
      </w:r>
    </w:p>
  </w:endnote>
  <w:endnote w:type="continuationSeparator" w:id="0">
    <w:p w:rsidR="00A27208" w:rsidRDefault="00A27208" w:rsidP="004D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208" w:rsidRDefault="00A27208" w:rsidP="004D1D0F">
      <w:pPr>
        <w:spacing w:after="0" w:line="240" w:lineRule="auto"/>
      </w:pPr>
      <w:r>
        <w:separator/>
      </w:r>
    </w:p>
  </w:footnote>
  <w:footnote w:type="continuationSeparator" w:id="0">
    <w:p w:rsidR="00A27208" w:rsidRDefault="00A27208" w:rsidP="004D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D0F" w:rsidRPr="004D1D0F" w:rsidRDefault="004D1D0F" w:rsidP="004D1D0F">
    <w:pPr>
      <w:pStyle w:val="Nagwek"/>
      <w:jc w:val="center"/>
      <w:rPr>
        <w:noProof/>
      </w:rPr>
    </w:pPr>
    <w:r w:rsidRPr="00941D87">
      <w:rPr>
        <w:rFonts w:ascii="Helvetica" w:hAnsi="Helvetica" w:cs="Helvetica"/>
        <w:noProof/>
      </w:rPr>
      <w:drawing>
        <wp:inline distT="0" distB="0" distL="0" distR="0" wp14:anchorId="0AA3802B" wp14:editId="3D78AD44">
          <wp:extent cx="5753100" cy="6762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D0F" w:rsidRDefault="004D1D0F" w:rsidP="004D1D0F">
    <w:pPr>
      <w:spacing w:after="0"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</w:p>
  <w:p w:rsidR="004D1D0F" w:rsidRDefault="004D1D0F" w:rsidP="004D1D0F">
    <w:pPr>
      <w:spacing w:after="0"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</w:p>
  <w:p w:rsidR="004D1D0F" w:rsidRPr="004D1D0F" w:rsidRDefault="004D1D0F" w:rsidP="004D1D0F">
    <w:pPr>
      <w:spacing w:after="0"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F"/>
    <w:rsid w:val="004D1D0F"/>
    <w:rsid w:val="00A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EE59"/>
  <w15:chartTrackingRefBased/>
  <w15:docId w15:val="{229D75CE-DD10-4AF0-8303-1E51B3F6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D1D0F"/>
    <w:pPr>
      <w:keepNext/>
      <w:keepLines/>
      <w:tabs>
        <w:tab w:val="left" w:pos="4770"/>
        <w:tab w:val="right" w:pos="9360"/>
      </w:tabs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D0F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styleId="Hipercze">
    <w:name w:val="Hyperlink"/>
    <w:basedOn w:val="Domylnaczcionkaakapitu"/>
    <w:uiPriority w:val="99"/>
    <w:unhideWhenUsed/>
    <w:rsid w:val="004D1D0F"/>
    <w:rPr>
      <w:color w:val="0563C1" w:themeColor="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D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D1D0F"/>
  </w:style>
  <w:style w:type="paragraph" w:styleId="Stopka">
    <w:name w:val="footer"/>
    <w:basedOn w:val="Normalny"/>
    <w:link w:val="StopkaZnak"/>
    <w:uiPriority w:val="99"/>
    <w:unhideWhenUsed/>
    <w:rsid w:val="004D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myportal/strefa-klienta/katalog-spraw/profil-urzedu/101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Świtoń</dc:creator>
  <cp:keywords/>
  <dc:description/>
  <cp:lastModifiedBy>Świtoń</cp:lastModifiedBy>
  <cp:revision>1</cp:revision>
  <cp:lastPrinted>2020-03-06T11:40:00Z</cp:lastPrinted>
  <dcterms:created xsi:type="dcterms:W3CDTF">2020-03-06T11:28:00Z</dcterms:created>
  <dcterms:modified xsi:type="dcterms:W3CDTF">2020-03-06T11:42:00Z</dcterms:modified>
</cp:coreProperties>
</file>